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0FF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center"/>
        <w:rPr>
          <w:rFonts w:hint="default" w:ascii="Calibri" w:hAnsi="Calibri" w:eastAsia="sans-serif" w:cs="Calibri"/>
          <w:b/>
          <w:bCs/>
          <w:color w:val="284980"/>
          <w:sz w:val="32"/>
          <w:szCs w:val="32"/>
        </w:rPr>
      </w:pPr>
      <w:r>
        <w:rPr>
          <w:rFonts w:hint="default" w:ascii="Calibri" w:hAnsi="Calibri" w:eastAsia="sans-serif" w:cs="Calibri"/>
          <w:b/>
          <w:bCs/>
          <w:color w:val="284980"/>
          <w:sz w:val="32"/>
          <w:szCs w:val="32"/>
        </w:rPr>
        <w:t>Вила Предраг – Будва 2026</w:t>
      </w:r>
    </w:p>
    <w:p w14:paraId="08C60E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Calibri" w:hAnsi="Calibri" w:cs="Calibri"/>
          <w:sz w:val="24"/>
          <w:szCs w:val="24"/>
        </w:rPr>
      </w:pPr>
    </w:p>
    <w:p w14:paraId="51D0D1DC">
      <w:pPr>
        <w:pStyle w:val="6"/>
        <w:keepNext w:val="0"/>
        <w:keepLines w:val="0"/>
        <w:widowControl/>
        <w:suppressLineNumbers w:val="0"/>
        <w:spacing w:before="0" w:beforeAutospacing="0"/>
        <w:ind w:left="0" w:right="0"/>
        <w:rPr>
          <w:rFonts w:hint="default" w:ascii="Calibri" w:hAnsi="Calibri" w:cs="Calibri"/>
          <w:sz w:val="24"/>
          <w:szCs w:val="24"/>
        </w:rPr>
      </w:pPr>
      <w:r>
        <w:rPr>
          <w:rFonts w:hint="default" w:ascii="Calibri" w:hAnsi="Calibri" w:eastAsia="sans-serif" w:cs="Calibri"/>
          <w:color w:val="000000"/>
          <w:sz w:val="24"/>
          <w:szCs w:val="24"/>
        </w:rPr>
        <w:t>Будва е нај атрактивното место на Јадранскиот брег. Будва изобилува со долги песочни плажи со вкупна должина од 25 км. Најпознати се Словенска плажа, Милочер, Пржно, Каменово, Могрен 1 и 2 и многу други плажи. А најголема атракција претставува Стариот Град. Во непосредна близина се наоѓа и островот Св.Никола кој е најголем во овој дел од Јадранот..</w:t>
      </w:r>
    </w:p>
    <w:p w14:paraId="2235AF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sz w:val="24"/>
          <w:szCs w:val="24"/>
        </w:rPr>
      </w:pPr>
      <w:r>
        <w:rPr>
          <w:rFonts w:hint="default" w:ascii="Calibri" w:hAnsi="Calibri" w:eastAsia="sans-serif" w:cs="Calibri"/>
          <w:b/>
          <w:bCs/>
          <w:color w:val="212529"/>
          <w:sz w:val="24"/>
          <w:szCs w:val="24"/>
        </w:rPr>
        <w:t>Што е вклучено во цената</w:t>
      </w:r>
    </w:p>
    <w:p w14:paraId="4FED5C0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4"/>
          <w:szCs w:val="24"/>
        </w:rPr>
      </w:pPr>
      <w:r>
        <w:rPr>
          <w:rFonts w:hint="default" w:ascii="Calibri" w:hAnsi="Calibri" w:eastAsia="sans-serif" w:cs="Calibri"/>
          <w:color w:val="000000"/>
          <w:sz w:val="24"/>
          <w:szCs w:val="24"/>
          <w:vertAlign w:val="baseline"/>
        </w:rPr>
        <w:t>Цените се за 7 ноќевања со превоз по лице.</w:t>
      </w:r>
    </w:p>
    <w:p w14:paraId="13D0F4D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4"/>
          <w:szCs w:val="24"/>
        </w:rPr>
      </w:pPr>
      <w:r>
        <w:rPr>
          <w:rFonts w:hint="default" w:ascii="Calibri" w:hAnsi="Calibri" w:eastAsia="sans-serif" w:cs="Calibri"/>
          <w:color w:val="000000"/>
          <w:sz w:val="24"/>
          <w:szCs w:val="24"/>
          <w:vertAlign w:val="baseline"/>
        </w:rPr>
        <w:t>Клима уред</w:t>
      </w:r>
    </w:p>
    <w:p w14:paraId="3EB03A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rPr>
          <w:rFonts w:hint="default" w:ascii="Calibri" w:hAnsi="Calibri" w:eastAsia="sans-serif" w:cs="Calibri"/>
          <w:b/>
          <w:bCs/>
          <w:color w:val="212529"/>
          <w:sz w:val="24"/>
          <w:szCs w:val="24"/>
        </w:rPr>
      </w:pPr>
      <w:r>
        <w:rPr>
          <w:rFonts w:hint="default" w:ascii="Calibri" w:hAnsi="Calibri" w:eastAsia="sans-serif" w:cs="Calibri"/>
          <w:b/>
          <w:bCs/>
          <w:color w:val="212529"/>
          <w:sz w:val="24"/>
          <w:szCs w:val="24"/>
        </w:rPr>
        <w:t>Што не е вклучено во цената</w:t>
      </w:r>
    </w:p>
    <w:p w14:paraId="2DBC5F8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right="0" w:hanging="360"/>
        <w:textAlignment w:val="baseline"/>
        <w:rPr>
          <w:rFonts w:hint="default" w:ascii="Calibri" w:hAnsi="Calibri" w:cs="Calibri"/>
          <w:sz w:val="24"/>
          <w:szCs w:val="24"/>
        </w:rPr>
      </w:pPr>
      <w:r>
        <w:rPr>
          <w:rFonts w:hint="default" w:ascii="Calibri" w:hAnsi="Calibri" w:eastAsia="sans-serif" w:cs="Calibri"/>
          <w:color w:val="000000"/>
          <w:sz w:val="24"/>
          <w:szCs w:val="24"/>
          <w:vertAlign w:val="baseline"/>
        </w:rPr>
        <w:t> туристичка такса</w:t>
      </w:r>
    </w:p>
    <w:p w14:paraId="56AF8314">
      <w:pPr>
        <w:rPr>
          <w:rFonts w:hint="default" w:ascii="Calibri" w:hAnsi="Calibri" w:cs="Calibri"/>
          <w:sz w:val="24"/>
          <w:szCs w:val="24"/>
        </w:rPr>
      </w:pPr>
    </w:p>
    <w:p w14:paraId="130B3BD9">
      <w:pPr>
        <w:pStyle w:val="3"/>
        <w:keepNext w:val="0"/>
        <w:keepLines w:val="0"/>
        <w:widowControl/>
        <w:suppressLineNumbers w:val="0"/>
        <w:shd w:val="clear" w:fill="FFFFFF"/>
        <w:spacing w:before="0" w:beforeAutospacing="0" w:line="10" w:lineRule="atLeast"/>
        <w:ind w:left="0" w:firstLine="0"/>
        <w:jc w:val="left"/>
        <w:rPr>
          <w:rFonts w:hint="default" w:ascii="Calibri" w:hAnsi="Calibri" w:eastAsia="Segoe UI" w:cs="Calibri"/>
          <w:b/>
          <w:bCs/>
          <w:i w:val="0"/>
          <w:iCs w:val="0"/>
          <w:caps w:val="0"/>
          <w:color w:val="284980"/>
          <w:spacing w:val="0"/>
          <w:sz w:val="24"/>
          <w:szCs w:val="24"/>
        </w:rPr>
      </w:pPr>
      <w:r>
        <w:rPr>
          <w:rFonts w:hint="default" w:ascii="Calibri" w:hAnsi="Calibri" w:eastAsia="Segoe UI" w:cs="Calibri"/>
          <w:b/>
          <w:bCs/>
          <w:i w:val="0"/>
          <w:iCs w:val="0"/>
          <w:caps w:val="0"/>
          <w:color w:val="284980"/>
          <w:spacing w:val="0"/>
          <w:sz w:val="24"/>
          <w:szCs w:val="24"/>
          <w:shd w:val="clear" w:fill="FFFFFF"/>
        </w:rPr>
        <w:t>Вила Предраг</w:t>
      </w:r>
    </w:p>
    <w:p w14:paraId="323398FD">
      <w:pPr>
        <w:pStyle w:val="6"/>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4"/>
          <w:szCs w:val="24"/>
        </w:rPr>
      </w:pPr>
      <w:r>
        <w:rPr>
          <w:rFonts w:hint="default" w:ascii="Calibri" w:hAnsi="Calibri" w:eastAsia="Segoe UI" w:cs="Calibri"/>
          <w:i w:val="0"/>
          <w:iCs w:val="0"/>
          <w:caps w:val="0"/>
          <w:color w:val="7A7A7A"/>
          <w:spacing w:val="0"/>
          <w:sz w:val="24"/>
          <w:szCs w:val="24"/>
          <w:shd w:val="clear" w:fill="FFFFFF"/>
        </w:rPr>
        <w:t>Вила Предраг во Будва се наоѓа на 350м од словенска плажа. Вилата располага со убави конфорни двокреветни , трокреветни и четворокреветни студија .Секоја соба има сопствено купатило, клима, ( вклучена во цена ) фрижидер како и бокал за кафе/чај. Четворокреветните студија имаат кујна.</w:t>
      </w:r>
    </w:p>
    <w:p w14:paraId="24937AC8">
      <w:pPr>
        <w:pStyle w:val="6"/>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4"/>
          <w:szCs w:val="24"/>
        </w:rPr>
      </w:pPr>
      <w:r>
        <w:rPr>
          <w:rFonts w:hint="default" w:ascii="Calibri" w:hAnsi="Calibri" w:eastAsia="Segoe UI" w:cs="Calibri"/>
          <w:i w:val="0"/>
          <w:iCs w:val="0"/>
          <w:caps w:val="0"/>
          <w:color w:val="7A7A7A"/>
          <w:spacing w:val="0"/>
          <w:sz w:val="24"/>
          <w:szCs w:val="24"/>
          <w:shd w:val="clear" w:fill="FFFFFF"/>
        </w:rPr>
        <w:t>Прв спрат:</w:t>
      </w:r>
    </w:p>
    <w:p w14:paraId="20988FA9">
      <w:pPr>
        <w:pStyle w:val="6"/>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4"/>
          <w:szCs w:val="24"/>
        </w:rPr>
      </w:pPr>
      <w:r>
        <w:rPr>
          <w:rFonts w:hint="default" w:ascii="Calibri" w:hAnsi="Calibri" w:eastAsia="Segoe UI" w:cs="Calibri"/>
          <w:i w:val="0"/>
          <w:iCs w:val="0"/>
          <w:caps w:val="0"/>
          <w:color w:val="7A7A7A"/>
          <w:spacing w:val="0"/>
          <w:sz w:val="24"/>
          <w:szCs w:val="24"/>
          <w:shd w:val="clear" w:fill="FFFFFF"/>
        </w:rPr>
        <w:t>Соба бр.5 двокреветна со два единечни кревети, има тераса . Кујна нема.</w:t>
      </w:r>
    </w:p>
    <w:p w14:paraId="0F78D12B">
      <w:pPr>
        <w:pStyle w:val="6"/>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4"/>
          <w:szCs w:val="24"/>
        </w:rPr>
      </w:pPr>
      <w:r>
        <w:rPr>
          <w:rFonts w:hint="default" w:ascii="Calibri" w:hAnsi="Calibri" w:eastAsia="Segoe UI" w:cs="Calibri"/>
          <w:i w:val="0"/>
          <w:iCs w:val="0"/>
          <w:caps w:val="0"/>
          <w:color w:val="7A7A7A"/>
          <w:spacing w:val="0"/>
          <w:sz w:val="24"/>
          <w:szCs w:val="24"/>
          <w:shd w:val="clear" w:fill="FFFFFF"/>
        </w:rPr>
        <w:t>Соба бр.7 трокреветна со еден брачен и еден единечен кревет. Има мини кујна и француска тераса.</w:t>
      </w:r>
    </w:p>
    <w:p w14:paraId="6F37EDDA">
      <w:pPr>
        <w:pStyle w:val="6"/>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4"/>
          <w:szCs w:val="24"/>
        </w:rPr>
      </w:pPr>
      <w:r>
        <w:rPr>
          <w:rFonts w:hint="default" w:ascii="Calibri" w:hAnsi="Calibri" w:eastAsia="Segoe UI" w:cs="Calibri"/>
          <w:i w:val="0"/>
          <w:iCs w:val="0"/>
          <w:caps w:val="0"/>
          <w:color w:val="7A7A7A"/>
          <w:spacing w:val="0"/>
          <w:sz w:val="24"/>
          <w:szCs w:val="24"/>
          <w:shd w:val="clear" w:fill="FFFFFF"/>
        </w:rPr>
        <w:t>Соба бр.8 двокреветна со брачен кревет без тераса.</w:t>
      </w:r>
    </w:p>
    <w:p w14:paraId="4F8E6BE5">
      <w:pPr>
        <w:pStyle w:val="6"/>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4"/>
          <w:szCs w:val="24"/>
        </w:rPr>
      </w:pPr>
      <w:r>
        <w:rPr>
          <w:rFonts w:hint="default" w:ascii="Calibri" w:hAnsi="Calibri" w:eastAsia="Segoe UI" w:cs="Calibri"/>
          <w:i w:val="0"/>
          <w:iCs w:val="0"/>
          <w:caps w:val="0"/>
          <w:color w:val="7A7A7A"/>
          <w:spacing w:val="0"/>
          <w:sz w:val="24"/>
          <w:szCs w:val="24"/>
          <w:shd w:val="clear" w:fill="FFFFFF"/>
        </w:rPr>
        <w:t>Втор спрат:</w:t>
      </w:r>
    </w:p>
    <w:p w14:paraId="37813952">
      <w:pPr>
        <w:pStyle w:val="6"/>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4"/>
          <w:szCs w:val="24"/>
        </w:rPr>
      </w:pPr>
      <w:r>
        <w:rPr>
          <w:rFonts w:hint="default" w:ascii="Calibri" w:hAnsi="Calibri" w:eastAsia="Segoe UI" w:cs="Calibri"/>
          <w:i w:val="0"/>
          <w:iCs w:val="0"/>
          <w:caps w:val="0"/>
          <w:color w:val="7A7A7A"/>
          <w:spacing w:val="0"/>
          <w:sz w:val="24"/>
          <w:szCs w:val="24"/>
          <w:shd w:val="clear" w:fill="FFFFFF"/>
        </w:rPr>
        <w:t>Соба бр.14 трокреветна со три единечни кревети со мини кујна. Нема тераса.</w:t>
      </w:r>
    </w:p>
    <w:p w14:paraId="0ADF3F40">
      <w:pPr>
        <w:pStyle w:val="6"/>
        <w:keepNext w:val="0"/>
        <w:keepLines w:val="0"/>
        <w:widowControl/>
        <w:suppressLineNumbers w:val="0"/>
        <w:shd w:val="clear" w:fill="FFFFFF"/>
        <w:spacing w:before="0" w:beforeAutospacing="0"/>
        <w:ind w:left="0" w:firstLine="0"/>
        <w:jc w:val="left"/>
        <w:rPr>
          <w:rFonts w:hint="default" w:ascii="Calibri" w:hAnsi="Calibri" w:eastAsia="Segoe UI" w:cs="Calibri"/>
          <w:i w:val="0"/>
          <w:iCs w:val="0"/>
          <w:caps w:val="0"/>
          <w:color w:val="7A7A7A"/>
          <w:spacing w:val="0"/>
          <w:sz w:val="24"/>
          <w:szCs w:val="24"/>
        </w:rPr>
      </w:pPr>
      <w:r>
        <w:rPr>
          <w:rFonts w:hint="default" w:ascii="Calibri" w:hAnsi="Calibri" w:eastAsia="Segoe UI" w:cs="Calibri"/>
          <w:i w:val="0"/>
          <w:iCs w:val="0"/>
          <w:caps w:val="0"/>
          <w:color w:val="7A7A7A"/>
          <w:spacing w:val="0"/>
          <w:sz w:val="24"/>
          <w:szCs w:val="24"/>
          <w:shd w:val="clear" w:fill="FFFFFF"/>
        </w:rPr>
        <w:t>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D16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DDA13D5">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Термин</w:t>
            </w:r>
          </w:p>
        </w:tc>
        <w:tc>
          <w:tcPr>
            <w:tcW w:w="2841" w:type="dxa"/>
          </w:tcPr>
          <w:p w14:paraId="4B05218C">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1/2 Студио (редовна цена по лице)</w:t>
            </w:r>
          </w:p>
        </w:tc>
        <w:tc>
          <w:tcPr>
            <w:tcW w:w="2841" w:type="dxa"/>
          </w:tcPr>
          <w:p w14:paraId="2D54F6B4">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1/3 Студио ( редовна цена по лице)</w:t>
            </w:r>
          </w:p>
        </w:tc>
      </w:tr>
      <w:tr w14:paraId="7F2E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C62C452">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21.06-28.06</w:t>
            </w:r>
          </w:p>
        </w:tc>
        <w:tc>
          <w:tcPr>
            <w:tcW w:w="2841" w:type="dxa"/>
          </w:tcPr>
          <w:p w14:paraId="6994EFEE">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190е</w:t>
            </w:r>
          </w:p>
        </w:tc>
        <w:tc>
          <w:tcPr>
            <w:tcW w:w="2841" w:type="dxa"/>
          </w:tcPr>
          <w:p w14:paraId="13E449FF">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180е</w:t>
            </w:r>
          </w:p>
        </w:tc>
      </w:tr>
      <w:tr w14:paraId="7314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D02C78F">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28.06-05.07</w:t>
            </w:r>
          </w:p>
        </w:tc>
        <w:tc>
          <w:tcPr>
            <w:tcW w:w="2841" w:type="dxa"/>
          </w:tcPr>
          <w:p w14:paraId="379AEC93">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200е</w:t>
            </w:r>
          </w:p>
        </w:tc>
        <w:tc>
          <w:tcPr>
            <w:tcW w:w="2841" w:type="dxa"/>
          </w:tcPr>
          <w:p w14:paraId="151343C2">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190е</w:t>
            </w:r>
          </w:p>
        </w:tc>
      </w:tr>
      <w:tr w14:paraId="2A5F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AF6567C">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05.07-12.07</w:t>
            </w:r>
          </w:p>
        </w:tc>
        <w:tc>
          <w:tcPr>
            <w:tcW w:w="2841" w:type="dxa"/>
          </w:tcPr>
          <w:p w14:paraId="08DADEAD">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210е</w:t>
            </w:r>
          </w:p>
        </w:tc>
        <w:tc>
          <w:tcPr>
            <w:tcW w:w="2841" w:type="dxa"/>
          </w:tcPr>
          <w:p w14:paraId="7A307AB1">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200е</w:t>
            </w:r>
          </w:p>
        </w:tc>
      </w:tr>
      <w:tr w14:paraId="0E66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F895462">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12.07-19.07</w:t>
            </w:r>
          </w:p>
        </w:tc>
        <w:tc>
          <w:tcPr>
            <w:tcW w:w="2841" w:type="dxa"/>
          </w:tcPr>
          <w:p w14:paraId="0D59486D">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220е</w:t>
            </w:r>
          </w:p>
        </w:tc>
        <w:tc>
          <w:tcPr>
            <w:tcW w:w="2841" w:type="dxa"/>
          </w:tcPr>
          <w:p w14:paraId="34F76557">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210е</w:t>
            </w:r>
          </w:p>
        </w:tc>
      </w:tr>
      <w:tr w14:paraId="0AE5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B7D4816">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19.07-26.07</w:t>
            </w:r>
          </w:p>
        </w:tc>
        <w:tc>
          <w:tcPr>
            <w:tcW w:w="2841" w:type="dxa"/>
          </w:tcPr>
          <w:p w14:paraId="169486A5">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230е</w:t>
            </w:r>
          </w:p>
        </w:tc>
        <w:tc>
          <w:tcPr>
            <w:tcW w:w="2841" w:type="dxa"/>
          </w:tcPr>
          <w:p w14:paraId="75640655">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220е</w:t>
            </w:r>
          </w:p>
        </w:tc>
      </w:tr>
      <w:tr w14:paraId="2461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FFFE4EF">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26.07-02.08</w:t>
            </w:r>
          </w:p>
        </w:tc>
        <w:tc>
          <w:tcPr>
            <w:tcW w:w="2841" w:type="dxa"/>
          </w:tcPr>
          <w:p w14:paraId="5360280F">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240е</w:t>
            </w:r>
          </w:p>
        </w:tc>
        <w:tc>
          <w:tcPr>
            <w:tcW w:w="2841" w:type="dxa"/>
          </w:tcPr>
          <w:p w14:paraId="459A7B62">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230е</w:t>
            </w:r>
          </w:p>
        </w:tc>
      </w:tr>
      <w:tr w14:paraId="7B92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E5DC87B">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02.08-09.08</w:t>
            </w:r>
          </w:p>
        </w:tc>
        <w:tc>
          <w:tcPr>
            <w:tcW w:w="2841" w:type="dxa"/>
          </w:tcPr>
          <w:p w14:paraId="35DFB764">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240е</w:t>
            </w:r>
          </w:p>
        </w:tc>
        <w:tc>
          <w:tcPr>
            <w:tcW w:w="2841" w:type="dxa"/>
          </w:tcPr>
          <w:p w14:paraId="42F655CA">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230е</w:t>
            </w:r>
          </w:p>
        </w:tc>
      </w:tr>
      <w:tr w14:paraId="2A11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DB64DD">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09.08-16.08</w:t>
            </w:r>
          </w:p>
        </w:tc>
        <w:tc>
          <w:tcPr>
            <w:tcW w:w="2841" w:type="dxa"/>
          </w:tcPr>
          <w:p w14:paraId="2AFFA982">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240е</w:t>
            </w:r>
          </w:p>
        </w:tc>
        <w:tc>
          <w:tcPr>
            <w:tcW w:w="2841" w:type="dxa"/>
          </w:tcPr>
          <w:p w14:paraId="084F00B7">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230е</w:t>
            </w:r>
          </w:p>
        </w:tc>
      </w:tr>
      <w:tr w14:paraId="62D5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8355D9D">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16.08-23.08</w:t>
            </w:r>
          </w:p>
        </w:tc>
        <w:tc>
          <w:tcPr>
            <w:tcW w:w="2841" w:type="dxa"/>
          </w:tcPr>
          <w:p w14:paraId="2580B1BF">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230е</w:t>
            </w:r>
          </w:p>
        </w:tc>
        <w:tc>
          <w:tcPr>
            <w:tcW w:w="2841" w:type="dxa"/>
          </w:tcPr>
          <w:p w14:paraId="3C68801C">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220е</w:t>
            </w:r>
          </w:p>
        </w:tc>
      </w:tr>
      <w:tr w14:paraId="3CC7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D7C2C12">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23.08-30.08</w:t>
            </w:r>
          </w:p>
        </w:tc>
        <w:tc>
          <w:tcPr>
            <w:tcW w:w="2841" w:type="dxa"/>
          </w:tcPr>
          <w:p w14:paraId="6FF4FA5F">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220е</w:t>
            </w:r>
          </w:p>
        </w:tc>
        <w:tc>
          <w:tcPr>
            <w:tcW w:w="2841" w:type="dxa"/>
          </w:tcPr>
          <w:p w14:paraId="736BE11C">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210е</w:t>
            </w:r>
          </w:p>
        </w:tc>
      </w:tr>
      <w:tr w14:paraId="7FA5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66E3D8A">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30.08-06.09</w:t>
            </w:r>
          </w:p>
        </w:tc>
        <w:tc>
          <w:tcPr>
            <w:tcW w:w="2841" w:type="dxa"/>
          </w:tcPr>
          <w:p w14:paraId="1378B2FB">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210е</w:t>
            </w:r>
          </w:p>
        </w:tc>
        <w:tc>
          <w:tcPr>
            <w:tcW w:w="2841" w:type="dxa"/>
          </w:tcPr>
          <w:p w14:paraId="045D6683">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200е</w:t>
            </w:r>
          </w:p>
        </w:tc>
      </w:tr>
      <w:tr w14:paraId="5D96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F07E615">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06.09-13.09</w:t>
            </w:r>
          </w:p>
        </w:tc>
        <w:tc>
          <w:tcPr>
            <w:tcW w:w="2841" w:type="dxa"/>
          </w:tcPr>
          <w:p w14:paraId="06BD0F86">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200е</w:t>
            </w:r>
          </w:p>
        </w:tc>
        <w:tc>
          <w:tcPr>
            <w:tcW w:w="2841" w:type="dxa"/>
          </w:tcPr>
          <w:p w14:paraId="2F2AABEB">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190е</w:t>
            </w:r>
          </w:p>
        </w:tc>
      </w:tr>
      <w:tr w14:paraId="2D53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B13810E">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13.09-20.09</w:t>
            </w:r>
          </w:p>
        </w:tc>
        <w:tc>
          <w:tcPr>
            <w:tcW w:w="2841" w:type="dxa"/>
          </w:tcPr>
          <w:p w14:paraId="66002D01">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190е</w:t>
            </w:r>
          </w:p>
        </w:tc>
        <w:tc>
          <w:tcPr>
            <w:tcW w:w="2841" w:type="dxa"/>
          </w:tcPr>
          <w:p w14:paraId="2F98F0CC">
            <w:pPr>
              <w:widowControl w:val="0"/>
              <w:jc w:val="both"/>
              <w:rPr>
                <w:rFonts w:hint="default" w:ascii="Calibri" w:hAnsi="Calibri" w:cs="Calibri"/>
                <w:sz w:val="24"/>
                <w:szCs w:val="24"/>
                <w:vertAlign w:val="baseline"/>
                <w:lang w:val="mk-MK"/>
              </w:rPr>
            </w:pPr>
            <w:r>
              <w:rPr>
                <w:rFonts w:hint="default" w:ascii="Calibri" w:hAnsi="Calibri" w:cs="Calibri"/>
                <w:sz w:val="24"/>
                <w:szCs w:val="24"/>
                <w:vertAlign w:val="baseline"/>
                <w:lang w:val="mk-MK"/>
              </w:rPr>
              <w:t>180е</w:t>
            </w:r>
          </w:p>
        </w:tc>
      </w:tr>
    </w:tbl>
    <w:p w14:paraId="3DCE5A9C">
      <w:pPr>
        <w:rPr>
          <w:rFonts w:hint="default" w:ascii="Calibri" w:hAnsi="Calibri" w:cs="Calibri"/>
          <w:sz w:val="24"/>
          <w:szCs w:val="24"/>
        </w:rPr>
      </w:pPr>
    </w:p>
    <w:p w14:paraId="3A3B94E6">
      <w:pPr>
        <w:rPr>
          <w:rFonts w:hint="default" w:ascii="Calibri" w:hAnsi="Calibri" w:cs="Calibri"/>
          <w:sz w:val="24"/>
          <w:szCs w:val="24"/>
        </w:rPr>
      </w:pPr>
    </w:p>
    <w:p w14:paraId="172413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0" w:lineRule="atLeast"/>
        <w:ind w:left="0" w:right="0"/>
        <w:jc w:val="left"/>
        <w:rPr>
          <w:rFonts w:hint="default" w:ascii="Calibri" w:hAnsi="Calibri" w:eastAsia="sans-serif" w:cs="Calibri"/>
          <w:b/>
          <w:bCs/>
          <w:color w:val="212529"/>
          <w:sz w:val="24"/>
          <w:szCs w:val="24"/>
        </w:rPr>
      </w:pPr>
      <w:r>
        <w:rPr>
          <w:rFonts w:hint="default" w:ascii="Calibri" w:hAnsi="Calibri" w:eastAsia="sans-serif" w:cs="Calibri"/>
          <w:b/>
          <w:bCs/>
          <w:i w:val="0"/>
          <w:iCs w:val="0"/>
          <w:caps w:val="0"/>
          <w:color w:val="212529"/>
          <w:spacing w:val="0"/>
          <w:sz w:val="24"/>
          <w:szCs w:val="24"/>
          <w:shd w:val="clear" w:fill="F8F8F8"/>
        </w:rPr>
        <w:t>Важно</w:t>
      </w:r>
    </w:p>
    <w:p w14:paraId="55C89D83">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Цените се за 7 ноќевања со превоз по лице.</w:t>
      </w:r>
    </w:p>
    <w:p w14:paraId="187952A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Попуст за 3 -то лице во 1 / 3 студио / 4-то лице во 1 / 4 студио / – 20 % од промо цената</w:t>
      </w:r>
    </w:p>
    <w:p w14:paraId="6CF61C9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Попуст за деца до 12години 50% од промо цената</w:t>
      </w:r>
    </w:p>
    <w:p w14:paraId="03AD026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Намалување за патување со сопствен превоз-10евра по лице</w:t>
      </w:r>
    </w:p>
    <w:p w14:paraId="1327466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Во цената не е вклучена туристичка такса</w:t>
      </w:r>
    </w:p>
    <w:p w14:paraId="310BF43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За уплата на аранжман преку синдикатите со кои имаме склучено договор за плаќање на рати попустот за време на попустите за рана уплата е фиксен 10%.</w:t>
      </w:r>
    </w:p>
    <w:p w14:paraId="6A284B4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Доколку се прави промена на аранжман уплатен со попуст, новиот договор се калкулира согласно редовниот ценовник и во периодот кога се во тек попустите за рана уплата.</w:t>
      </w:r>
    </w:p>
    <w:p w14:paraId="7C96581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Сместувањето на првиот ден е по 14 часот и одјавувањето на последниот ден е во 9 часот</w:t>
      </w:r>
      <w:r>
        <w:rPr>
          <w:rFonts w:hint="default" w:ascii="Calibri" w:hAnsi="Calibri" w:eastAsia="sans-serif" w:cs="Calibri"/>
          <w:i w:val="0"/>
          <w:iCs w:val="0"/>
          <w:caps w:val="0"/>
          <w:color w:val="000000"/>
          <w:spacing w:val="0"/>
          <w:sz w:val="24"/>
          <w:szCs w:val="24"/>
          <w:shd w:val="clear" w:fill="F8F8F8"/>
          <w:vertAlign w:val="baseline"/>
        </w:rPr>
        <w:br w:type="textWrapping"/>
      </w:r>
      <w:r>
        <w:rPr>
          <w:rFonts w:hint="default" w:ascii="Calibri" w:hAnsi="Calibri" w:eastAsia="sans-serif" w:cs="Calibri"/>
          <w:i w:val="0"/>
          <w:iCs w:val="0"/>
          <w:caps w:val="0"/>
          <w:color w:val="000000"/>
          <w:spacing w:val="0"/>
          <w:sz w:val="24"/>
          <w:szCs w:val="24"/>
          <w:shd w:val="clear" w:fill="F8F8F8"/>
          <w:vertAlign w:val="baseline"/>
        </w:rPr>
        <w:t xml:space="preserve">ТА </w:t>
      </w:r>
      <w:r>
        <w:rPr>
          <w:rFonts w:hint="default" w:ascii="Calibri" w:hAnsi="Calibri" w:eastAsia="sans-serif" w:cs="Calibri"/>
          <w:i w:val="0"/>
          <w:iCs w:val="0"/>
          <w:caps w:val="0"/>
          <w:color w:val="000000"/>
          <w:spacing w:val="0"/>
          <w:sz w:val="24"/>
          <w:szCs w:val="24"/>
          <w:shd w:val="clear" w:fill="F8F8F8"/>
          <w:vertAlign w:val="baseline"/>
          <w:lang w:val="en-US"/>
        </w:rPr>
        <w:t xml:space="preserve"> </w:t>
      </w:r>
      <w:r>
        <w:rPr>
          <w:rFonts w:hint="default" w:ascii="Calibri" w:hAnsi="Calibri" w:eastAsia="sans-serif" w:cs="Calibri"/>
          <w:i w:val="0"/>
          <w:iCs w:val="0"/>
          <w:caps w:val="0"/>
          <w:color w:val="000000"/>
          <w:spacing w:val="0"/>
          <w:sz w:val="24"/>
          <w:szCs w:val="24"/>
          <w:shd w:val="clear" w:fill="F8F8F8"/>
          <w:vertAlign w:val="baseline"/>
          <w:lang w:val="mk-MK"/>
        </w:rPr>
        <w:t>Ескејп Травел</w:t>
      </w:r>
      <w:bookmarkStart w:id="0" w:name="_GoBack"/>
      <w:bookmarkEnd w:id="0"/>
      <w:r>
        <w:rPr>
          <w:rFonts w:hint="default" w:ascii="Calibri" w:hAnsi="Calibri" w:eastAsia="sans-serif" w:cs="Calibri"/>
          <w:i w:val="0"/>
          <w:iCs w:val="0"/>
          <w:caps w:val="0"/>
          <w:color w:val="000000"/>
          <w:spacing w:val="0"/>
          <w:sz w:val="24"/>
          <w:szCs w:val="24"/>
          <w:shd w:val="clear" w:fill="F8F8F8"/>
          <w:vertAlign w:val="baseline"/>
        </w:rPr>
        <w:t xml:space="preserve"> не сноси никаква одговорност за квалитетот на интернер конекцијата во објектите.</w:t>
      </w:r>
    </w:p>
    <w:p w14:paraId="79ECD9D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Фотографиите од сместувачкиот капацитет се од повеќе соби , апартмани а не се селектирани .</w:t>
      </w:r>
    </w:p>
    <w:p w14:paraId="20BA8E8C">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Организаторот на патувањето го задржува правото по пат на ultra first и last minute или друг тип на промоција да ги објави и продаде слободните капацитети по цени кои се разликуваат од оние кои се веќе објавени во ценовникот. Лицата кои го уплатиле аранжманот по редовен ценовник, немаат право на надомест на средства за разлика во цена.</w:t>
      </w:r>
    </w:p>
    <w:p w14:paraId="0727468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За резервација на понуда по редовна цена, 30 % од вредноста на аранжманот се уплатува во моментот на резервација, а остатокот 21ден пред поаѓање.</w:t>
      </w:r>
    </w:p>
    <w:p w14:paraId="4D80D90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720" w:hanging="360"/>
        <w:jc w:val="left"/>
        <w:textAlignment w:val="baseline"/>
        <w:rPr>
          <w:rFonts w:hint="default" w:ascii="Calibri" w:hAnsi="Calibri" w:cs="Calibri"/>
          <w:sz w:val="24"/>
          <w:szCs w:val="24"/>
        </w:rPr>
      </w:pPr>
      <w:r>
        <w:rPr>
          <w:rFonts w:hint="default" w:ascii="Calibri" w:hAnsi="Calibri" w:eastAsia="sans-serif" w:cs="Calibri"/>
          <w:i w:val="0"/>
          <w:iCs w:val="0"/>
          <w:caps w:val="0"/>
          <w:color w:val="000000"/>
          <w:spacing w:val="0"/>
          <w:sz w:val="24"/>
          <w:szCs w:val="24"/>
          <w:shd w:val="clear" w:fill="F8F8F8"/>
          <w:vertAlign w:val="baseline"/>
        </w:rPr>
        <w:t>Патникот во секој момент може да се откаже од аранжамот. Тоа се прави во писмена форма и согласно скалата која е објавена во општите услови за патување. Во случај на отказ на аранжан кој е со попуст за рана уплата 50 % од сумата е неповратна а вториот дел од 50 % се задржуваат согласно скалата која е објавена во општите услови за патување.</w:t>
      </w:r>
    </w:p>
    <w:p w14:paraId="45E03EE4"/>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FB6753"/>
    <w:multiLevelType w:val="multilevel"/>
    <w:tmpl w:val="CFFB675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26E45D35"/>
    <w:multiLevelType w:val="multilevel"/>
    <w:tmpl w:val="26E45D3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6799A520"/>
    <w:multiLevelType w:val="multilevel"/>
    <w:tmpl w:val="6799A52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397BC1"/>
    <w:rsid w:val="77AE64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7">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2026-02-12T10:40:00Z</dcterms:created>
  <dc:creator>User</dc:creator>
  <cp:lastModifiedBy>User</cp:lastModifiedBy>
  <dcterms:modified xsi:type="dcterms:W3CDTF">2026-02-12T12:47:54Z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24A9234B765442D98F1A1C5708D29FAB_12</vt:lpwstr>
  </property>
</Properties>
</file>